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/>
      </w:tblPr>
      <w:tblGrid>
        <w:gridCol w:w="7100"/>
        <w:gridCol w:w="7100"/>
      </w:tblGrid>
      <w:tr w:rsidR="00EF321C" w:rsidRPr="00EF321C">
        <w:tc>
          <w:tcPr>
            <w:tcW w:w="14200" w:type="dxa"/>
            <w:gridSpan w:val="2"/>
          </w:tcPr>
          <w:p w:rsidR="00EF321C" w:rsidRPr="00EF321C" w:rsidRDefault="00EF321C" w:rsidP="00EF32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21C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  <w:p w:rsidR="00EF321C" w:rsidRPr="00EF321C" w:rsidRDefault="00EF321C" w:rsidP="00EF32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1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Правительства РФ от 22.10.2012 № 1075 (ред. от 29.06.2016) «О ценообразовании в сфере теплоснабжения» (вместе с "Основами ценообразования в сфере теплоснабжения", "Правилами регулирования цен (тарифов) в сфере теплоснабжения", "Правилами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(или) цен (тарифов) в сфере теплоснабжения, которые подлежат регулированию в соответствии</w:t>
            </w:r>
            <w:proofErr w:type="gramEnd"/>
            <w:r w:rsidRPr="00EF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F321C">
              <w:rPr>
                <w:rFonts w:ascii="Times New Roman" w:hAnsi="Times New Roman" w:cs="Times New Roman"/>
                <w:b/>
                <w:sz w:val="24"/>
                <w:szCs w:val="24"/>
              </w:rPr>
              <w:t>с перечнем, определенным статьей 8 Федерального закона "О теплоснабжении", "Правилами определения стоимости активов и инвестированного капитала и ведения их раздельного учета, применяемые при осуществлении деятельности, регулируемой с использованием метода обеспечения доходности инвестированного капитала", "Правилами заключения долгосрочных договоров теплоснабжения по ценам, определенным соглашением сторон, в целях обеспечения потребления тепловой энергии (мощности) и теплоносителя объектами, потребляющими тепловую энергию (мощность) и теплоноситель и</w:t>
            </w:r>
            <w:proofErr w:type="gramEnd"/>
            <w:r w:rsidRPr="00EF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введенными в эксплуатацию после 1 января 2010 г.", "Правилами распределения удельного расхода топлива при производстве электрической и тепловой энергии</w:t>
            </w:r>
            <w:r w:rsidRPr="00EF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21C">
              <w:rPr>
                <w:rFonts w:ascii="Times New Roman" w:hAnsi="Times New Roman" w:cs="Times New Roman"/>
                <w:b/>
                <w:sz w:val="24"/>
                <w:szCs w:val="24"/>
              </w:rPr>
              <w:t>в режиме комбинированной выработки электрической и тепловой энергии")</w:t>
            </w:r>
            <w:r w:rsidRPr="00EF32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EF321C" w:rsidRPr="00EF321C" w:rsidTr="00EF321C">
        <w:tc>
          <w:tcPr>
            <w:tcW w:w="7100" w:type="dxa"/>
            <w:shd w:val="clear" w:color="auto" w:fill="B6DDE8" w:themeFill="accent5" w:themeFillTint="66"/>
          </w:tcPr>
          <w:p w:rsidR="00EF321C" w:rsidRPr="00EF321C" w:rsidRDefault="00EF321C" w:rsidP="00EF321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21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hyperlink r:id="rId4" w:history="1">
              <w:r w:rsidRPr="00EF321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Ред. от 31.12.2015, недействующая</w:t>
              </w:r>
            </w:hyperlink>
            <w:r w:rsidRPr="00EF32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 </w:t>
            </w:r>
          </w:p>
        </w:tc>
        <w:tc>
          <w:tcPr>
            <w:tcW w:w="7100" w:type="dxa"/>
            <w:shd w:val="clear" w:color="auto" w:fill="B6DDE8" w:themeFill="accent5" w:themeFillTint="66"/>
          </w:tcPr>
          <w:p w:rsidR="00EF321C" w:rsidRPr="00EF321C" w:rsidRDefault="00EF321C" w:rsidP="00EF321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21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hyperlink r:id="rId5" w:history="1">
              <w:r w:rsidRPr="00EF321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Ред. от 29.06.2016, действующая</w:t>
              </w:r>
            </w:hyperlink>
            <w:r w:rsidRPr="00EF32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 </w:t>
            </w:r>
          </w:p>
        </w:tc>
      </w:tr>
      <w:tr w:rsidR="00EF321C" w:rsidRPr="00EF321C" w:rsidTr="00EF321C">
        <w:tc>
          <w:tcPr>
            <w:tcW w:w="7100" w:type="dxa"/>
            <w:shd w:val="clear" w:color="auto" w:fill="B6DDE8" w:themeFill="accent5" w:themeFillTint="66"/>
          </w:tcPr>
          <w:p w:rsidR="00EF321C" w:rsidRPr="00EF321C" w:rsidRDefault="00EF3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C">
              <w:rPr>
                <w:rFonts w:ascii="Times New Roman" w:hAnsi="Times New Roman" w:cs="Times New Roman"/>
                <w:b/>
                <w:sz w:val="24"/>
                <w:szCs w:val="24"/>
              </w:rPr>
              <w:t>Основы ценообразования в сфере теплоснабжения</w:t>
            </w:r>
          </w:p>
          <w:p w:rsidR="00EF321C" w:rsidRPr="00EF321C" w:rsidRDefault="00EF321C">
            <w:pPr>
              <w:pStyle w:val="ConsPlusNormal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C">
              <w:rPr>
                <w:rFonts w:ascii="Times New Roman" w:hAnsi="Times New Roman" w:cs="Times New Roman"/>
                <w:b/>
                <w:sz w:val="24"/>
                <w:szCs w:val="24"/>
              </w:rPr>
              <w:t>I. Общие положения</w:t>
            </w:r>
          </w:p>
          <w:p w:rsidR="00EF321C" w:rsidRPr="00EF321C" w:rsidRDefault="00EF321C">
            <w:pPr>
              <w:pStyle w:val="ConsPlusNormal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C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 и методы регулирования цен (тарифов)</w:t>
            </w:r>
            <w:r w:rsidRPr="00EF32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7100" w:type="dxa"/>
            <w:shd w:val="clear" w:color="auto" w:fill="B6DDE8" w:themeFill="accent5" w:themeFillTint="66"/>
          </w:tcPr>
          <w:p w:rsidR="00EF321C" w:rsidRPr="00EF321C" w:rsidRDefault="00EF3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C">
              <w:rPr>
                <w:rFonts w:ascii="Times New Roman" w:hAnsi="Times New Roman" w:cs="Times New Roman"/>
                <w:b/>
                <w:sz w:val="24"/>
                <w:szCs w:val="24"/>
              </w:rPr>
              <w:t>Основы ценообразования в сфере теплоснабжения</w:t>
            </w:r>
          </w:p>
          <w:p w:rsidR="00EF321C" w:rsidRPr="00EF321C" w:rsidRDefault="00EF321C">
            <w:pPr>
              <w:pStyle w:val="ConsPlusNormal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C">
              <w:rPr>
                <w:rFonts w:ascii="Times New Roman" w:hAnsi="Times New Roman" w:cs="Times New Roman"/>
                <w:b/>
                <w:sz w:val="24"/>
                <w:szCs w:val="24"/>
              </w:rPr>
              <w:t>I. Общие положения</w:t>
            </w:r>
          </w:p>
          <w:p w:rsidR="00EF321C" w:rsidRPr="00EF321C" w:rsidRDefault="00EF321C">
            <w:pPr>
              <w:pStyle w:val="ConsPlusNormal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C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 и методы регулирования цен (тарифов)</w:t>
            </w:r>
            <w:r w:rsidRPr="00EF32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EF321C" w:rsidRPr="00EF321C">
        <w:tc>
          <w:tcPr>
            <w:tcW w:w="7100" w:type="dxa"/>
          </w:tcPr>
          <w:p w:rsidR="00EF321C" w:rsidRPr="00EF321C" w:rsidRDefault="00EF321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C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gramStart"/>
            <w:r w:rsidRPr="00EF321C">
              <w:rPr>
                <w:rFonts w:ascii="Times New Roman" w:hAnsi="Times New Roman" w:cs="Times New Roman"/>
                <w:sz w:val="24"/>
                <w:szCs w:val="24"/>
              </w:rPr>
              <w:t>В случае если регулируемая организация в течение расчетного периода регулирования понесла экономически обоснованные расходы, не учтенные органом регулирования при установлении для нее регулируемых цен (тарифов), в том числе расходы, связанные с незапланированным органом регулирования при установлении цен (тарифов) для такой регулируемой организации ростом цен на продукцию, потребляемую регулируемой организацией в течение расчетного периода регулирования, то такие расходы, включая расходы, связанные</w:t>
            </w:r>
            <w:proofErr w:type="gramEnd"/>
            <w:r w:rsidRPr="00EF321C">
              <w:rPr>
                <w:rFonts w:ascii="Times New Roman" w:hAnsi="Times New Roman" w:cs="Times New Roman"/>
                <w:sz w:val="24"/>
                <w:szCs w:val="24"/>
              </w:rPr>
              <w:t xml:space="preserve"> с обслуживанием заемных средств, привлекаемых для покрытия недостатка средств, учитываются органом регулирования при </w:t>
            </w:r>
            <w:r w:rsidRPr="00EF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установлении регулируемых цен (тарифов) для такой регулируемой организации начиная с периода, следующего за периодом, в котором указанные расходы были документально подтверждены на основании годовой бухгалтерской и статистической отчетности, но не </w:t>
            </w:r>
            <w:proofErr w:type="gramStart"/>
            <w:r w:rsidRPr="00EF321C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EF321C">
              <w:rPr>
                <w:rFonts w:ascii="Times New Roman" w:hAnsi="Times New Roman" w:cs="Times New Roman"/>
                <w:sz w:val="24"/>
                <w:szCs w:val="24"/>
              </w:rPr>
              <w:t xml:space="preserve"> чем на 3-й расчетный период регулирования, в полном объеме. Указанные экономически обоснованные расходы регулируемой организации включаются органом регулирования в необходимую валовую выручку независимо от достигнутого ею финансового результата. При этом расходы, связанные с обслуживанием заемных средств, учитываются в размере фактически понесенных расходов, не превышающем величину, равную ставке рефинансирования Центрального банка Российской Федерации, увеличенной на 4 процентных пункта.</w:t>
            </w:r>
          </w:p>
        </w:tc>
        <w:tc>
          <w:tcPr>
            <w:tcW w:w="7100" w:type="dxa"/>
          </w:tcPr>
          <w:p w:rsidR="00EF321C" w:rsidRPr="00EF321C" w:rsidRDefault="00EF321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</w:t>
            </w:r>
            <w:proofErr w:type="gramStart"/>
            <w:r w:rsidRPr="00EF321C">
              <w:rPr>
                <w:rFonts w:ascii="Times New Roman" w:hAnsi="Times New Roman" w:cs="Times New Roman"/>
                <w:sz w:val="24"/>
                <w:szCs w:val="24"/>
              </w:rPr>
              <w:t>В случае если регулируемая организация в течение расчетного периода регулирования понесла экономически обоснованные расходы, не учтенные органом регулирования при установлении для нее регулируемых цен (тарифов), в том числе расходы, связанные с незапланированным органом регулирования при установлении цен (тарифов) для такой регулируемой организации ростом цен на продукцию, потребляемую регулируемой организацией в течение расчетного периода регулирования, то такие расходы, включая расходы, связанные</w:t>
            </w:r>
            <w:proofErr w:type="gramEnd"/>
            <w:r w:rsidRPr="00EF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321C">
              <w:rPr>
                <w:rFonts w:ascii="Times New Roman" w:hAnsi="Times New Roman" w:cs="Times New Roman"/>
                <w:sz w:val="24"/>
                <w:szCs w:val="24"/>
              </w:rPr>
              <w:t xml:space="preserve">с обслуживанием заемных средств, привлекаемых для покрытия недостатка средств, </w:t>
            </w:r>
            <w:r w:rsidRPr="00EF321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в том числе вызванного осуществлением </w:t>
            </w:r>
            <w:r w:rsidRPr="00EF321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lastRenderedPageBreak/>
              <w:t>расчетов за коммунальную услугу по отоплению равномерно в течение календарного года,</w:t>
            </w:r>
            <w:r w:rsidRPr="00EF321C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учитываются органом регулирования при установлении регулируемых цен (тарифов) для такой регулируемой организации начиная с периода, следующего за периодом, в котором указанные расходы были документально подтверждены на основании годовой бухгалтерской и статистической отчетности, но не позднее</w:t>
            </w:r>
            <w:proofErr w:type="gramEnd"/>
            <w:r w:rsidRPr="00EF321C">
              <w:rPr>
                <w:rFonts w:ascii="Times New Roman" w:hAnsi="Times New Roman" w:cs="Times New Roman"/>
                <w:sz w:val="24"/>
                <w:szCs w:val="24"/>
              </w:rPr>
              <w:t xml:space="preserve"> чем на 3-й расчетный период регулирования, в полном объеме. Указанные экономически обоснованные расходы регулируемой организации включаются органом регулирования в необходимую валовую выручку независимо от достигнутого ею финансового результата. При этом расходы, связанные с обслуживанием заемных средств, учитываются в размере фактически понесенных расходов, не превышающем величину, равную ставке рефинансирования Центрального банка Российской Федерации, увеличенной на 4 процентных пункта.</w:t>
            </w:r>
          </w:p>
        </w:tc>
      </w:tr>
    </w:tbl>
    <w:p w:rsidR="00EF321C" w:rsidRPr="00EF321C" w:rsidRDefault="00EF321C">
      <w:pPr>
        <w:rPr>
          <w:rFonts w:cs="Times New Roman"/>
          <w:sz w:val="24"/>
          <w:szCs w:val="24"/>
        </w:rPr>
      </w:pPr>
    </w:p>
    <w:p w:rsidR="00D70675" w:rsidRPr="00EF321C" w:rsidRDefault="00D70675">
      <w:pPr>
        <w:rPr>
          <w:rFonts w:cs="Times New Roman"/>
          <w:sz w:val="24"/>
          <w:szCs w:val="24"/>
        </w:rPr>
      </w:pPr>
    </w:p>
    <w:sectPr w:rsidR="00D70675" w:rsidRPr="00EF321C" w:rsidSect="00016567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F321C"/>
    <w:rsid w:val="00086C2C"/>
    <w:rsid w:val="00453336"/>
    <w:rsid w:val="006A02B9"/>
    <w:rsid w:val="0083428D"/>
    <w:rsid w:val="008470BE"/>
    <w:rsid w:val="008539B3"/>
    <w:rsid w:val="00A241BB"/>
    <w:rsid w:val="00BC3D67"/>
    <w:rsid w:val="00CC4686"/>
    <w:rsid w:val="00D70675"/>
    <w:rsid w:val="00D77BA1"/>
    <w:rsid w:val="00E1623E"/>
    <w:rsid w:val="00E34F99"/>
    <w:rsid w:val="00EF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21C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ABF803BE8BA23335745713E8C7FB547FD7FA3FA0012F7FBF36AB92D9yFF" TargetMode="External"/><Relationship Id="rId4" Type="http://schemas.openxmlformats.org/officeDocument/2006/relationships/hyperlink" Target="consultantplus://offline/ref=C7ABF803BE8BA23335745713E8C7FB547CDEF83BAD032F7FBF36AB92D9y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2016-07-13T05:50:00Z</dcterms:created>
  <dcterms:modified xsi:type="dcterms:W3CDTF">2016-07-13T05:52:00Z</dcterms:modified>
</cp:coreProperties>
</file>